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宋体" w:eastAsia="仿宋_GB2312"/>
          <w:sz w:val="13"/>
          <w:szCs w:val="13"/>
        </w:rPr>
      </w:pPr>
    </w:p>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对市十七届人大五次会议</w:t>
      </w:r>
      <w:r>
        <w:rPr>
          <w:rFonts w:hint="eastAsia" w:ascii="宋体" w:hAnsi="宋体"/>
          <w:b/>
          <w:bCs/>
          <w:sz w:val="44"/>
          <w:lang w:val="en-US" w:eastAsia="zh-CN"/>
        </w:rPr>
        <w:br w:type="textWrapping"/>
      </w:r>
      <w:r>
        <w:rPr>
          <w:rFonts w:hint="eastAsia" w:ascii="宋体" w:hAnsi="宋体"/>
          <w:b/>
          <w:bCs/>
          <w:sz w:val="44"/>
          <w:lang w:val="en-US" w:eastAsia="zh-CN"/>
        </w:rPr>
        <w:t>第0027号建议的落实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刘智代表</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您提出的“关于更好的抓住机遇发展新兴产业推动创新驱动的建议”，经会同市发展改革委、市工业和信息化局研究答复如下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深入贯彻落实党的十九届五中全会精神，科学谋划新阶段科技创新蓝图，以市政府名义出台《天津市科技创新十四五规划》，将落实全市规划纲要、科技创新三年行动计划和科技创新十四五规划相结合，定期梳理科技创新工作开展情况并上报市领导，确保各项工作任务落实落地。</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一、自主创新能力进一步提升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重点技术领域取得多项亮点成果，在信创领域，以麒麟操作系统、飞腾CPU为代表的国家安可基础软硬件PK体系已初具规模，中科曙光研制的基于X86架构的海光CPU具备了替代INTEL和AMD产品能力，天河三号E级高性能计算机性能达到世界领先水平；在人工智能领域，成功研制了世界首款脑机接口专用芯片“脑语者”，“海燕”万米水下滑翔机创国产水下滑翔机连续工作时间、续航里程最远等一系列记录；在生物医药领域，国内首个埃博拉疫苗研制成功，中新科炬体外快速诊断平台填补我国艾滋病快速检测空白；高端装备领域自主研发的“天鲲号”重型自航绞吸式挖泥船获得国家科技进步特等奖，华海清科研制的12英寸化学机械抛光设备实现我国集成电路核心制造设备突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二、大力发展战略性新兴产业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工业和信息化局、市科技局和市发展改革委全力做好全市10条以上重点产业链组织推动工作。以信创产业为主攻方向，聚焦CPU、基础软件、应用软件、集成电路、信息安全等细分领域，推动产学研用融合，突破一批“卡脖子”关键技术，同步谋划生物技术创新产业，打造“生物制造谷”、“细胞谷”，加快经开区生物医药产业集群、滨海高新区网络信息安全产品和服务产业集群建设；以用立业，聚焦互联网医疗、5G+工业互联网等新领域，谋划一批有特色、可落地的场景应用中心，在数据开放、试点示范、牌照发放等方面给予支持。2020年全市规模以上工业企业实现新产品销售收入3960亿元，占营业收入比重达到21.15%，同比增长0.9个百分点。以企业为主体的自主创新体系不断完善，截至目前，我市已拥有国家企业技术中心68家，拥有的国家企业技术中心数量位居全国9个重点城市（包括直辖市和计划单列市）第3名（仅次于上海、北京），市级企业技术中心646家，天津市制造业创新中心9家。产业技术基础服务能力不断提升，我市已拥有中汽研、中电科46所、天津药研院、天津海水淡化与综合利用研究所、天津市特种设备监督检验技术研究院、天津市食品安全检测技术研究院等6家产业技术基础公共服务平台。</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三、企业科技创新主体地位进一步强化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全市高企总数达到7422家。制定《天津市雏鹰企业、瞪羚企业、科技领军企业和领军培育企业评价与支持办法》，着力推动实施高成长企业梯度培育。持续完善企业榜单定期发布机制，4月份成功举办2021年中国高成长企业发布会，天津市9家独角兽企业上榜，同比去年新增4家，企业创新活力不断增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四、持续深化科技体制改革</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发展改革委、市科技局会同市有关部门贯彻落实国家有关深入推进全面创新改革的部署要求，立足天津实际，聚焦京津冀协同发展，主动谋划、揭榜推进实施新一轮京津冀全面创新改革实践。在地方科学基金项目试行“负面清单+包干制”、以“谁被卡谁出题、谁出题谁出资、谁能干谁来干、谁牵头谁采购”方式推进关键核心技术攻关及迭代应用、科研仪器设备开放共享“一网办”“一指办”、科研机构技术转移人才评价和职称评定制度改革等方面大胆探索、先行先试。市科技局会同我市科技体制改革专项小组成员单位，全面贯彻落实中央和市委全面深化改革决策部署，以“钉钉子”精神，扎实推进“探索实践‘揭榜挂帅’科技项目形成新机制”、“深入探索大学科技园建设体制机制创新”等本年度重点改革任务落实落地，取得阶段性重要进展。研究编制了市科技局《关于进一步创新重大科技项目“揭榜挂帅”组织管理方式的实施方案》，选取人工智能、生物医药等科技重大专项推动试行“揭榜挂帅”工作机制。市委、市政府制定出台了我市促进我市大学科技园创新发展的指导意见，市科技局、市教委制定大学科技园建设三年行动计划，一批大学科技园揭牌成立并加快建设。</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五、建立科技成果转移转化的市场化服务机制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天津市科技成果展示交易运营中心实现市场化运营，进一步整合了科技成果转化的优势资源，促进了创新主体与市场之间、省市之间科技成果转化的互动与交流。目前已遴选发布科技成果83项、技术需求36项。市人社局、市财政局和市科技局联合出台《关于事业单位科研人员职务科技成果转化现金奖励纳入绩效工资管理有关问题的通知》，为事业单位开展成果转化解除顾虑。</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六、科技开放合作进一步扩大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政府与中科院签署“十四五”战略合作协议，明确设立重点合作任务专项、促进科技成果转化等合作重点。支持合成生物中心与国外优势机构共建COMSATS合成生物技术国际联合中心，构建合成生物技术协同创新国际合作网络。落实《天津意大利中小企业产业园建设实施意见》，共建威尼斯天津技术创新合作平台。举办“2021中英科技创新项目线上路演系列交流会——天津市科技创新发展中心专场活动”，将英国领先科技行业创新资源与天津滨海-中关村创新土壤相融合，推进双方共同结出技术创新的硕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七、进一步优化创新环境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编制全域科普中长期规划纲要，实现基层科普阵地社区（村）党群服务中心全覆盖。举行第35届科技周活动，首次在津举办“智能科技教育产业展”，接待市民14.85万人。市级科普基地总数达160家，将充分利用自身优势，进一步发挥示范引领作用，面向全市公众开展丰富多彩的科普活动，为普及科学知识、弘扬科学精神、传播科学思想、倡导科学方法作出积极贡献。</w:t>
      </w:r>
    </w:p>
    <w:p>
      <w:pPr>
        <w:keepNext w:val="0"/>
        <w:keepLines w:val="0"/>
        <w:pageBreakBefore w:val="0"/>
        <w:widowControl w:val="0"/>
        <w:tabs>
          <w:tab w:val="left" w:pos="7560"/>
        </w:tabs>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eastAsia="仿宋_GB2312"/>
          <w:sz w:val="32"/>
          <w:szCs w:val="18"/>
          <w:lang w:eastAsia="zh-CN"/>
        </w:rPr>
        <w:t>再次</w:t>
      </w:r>
      <w:r>
        <w:rPr>
          <w:rFonts w:hint="eastAsia" w:ascii="仿宋_GB2312" w:eastAsia="仿宋_GB2312"/>
          <w:sz w:val="32"/>
          <w:szCs w:val="18"/>
        </w:rPr>
        <w:t>感谢您对科技工作的关心支持和提出的宝贵建议，</w:t>
      </w:r>
      <w:r>
        <w:rPr>
          <w:rFonts w:hint="eastAsia" w:ascii="仿宋_GB2312" w:hAnsi="仿宋_GB2312" w:eastAsia="仿宋_GB2312" w:cs="仿宋_GB2312"/>
          <w:sz w:val="32"/>
          <w:lang w:val="en-US" w:eastAsia="zh-CN"/>
        </w:rPr>
        <w:t>下一步，将深入实施创新驱动发展战略，打造战略性新兴产业体系，推动技术创新体系建设，坚持科技自立自强，持续强化创新策源能力。一是围绕产业链部署创新链，促进产业链与创新链深度融合发展。聚焦信创、集成电路等12大产业链，加快完善以企业为主导、产学研结合技术创新体系。二是组织实施人工智能、生物医药等重大专项，解决一批“卡脖子”问题。通过“揭榜挂帅”等方式组织一批重大攻关项目。在信创、人工智能、生物医药、新材料、新能源、高端装备等战略新兴产业领域掌握一批具有自主知识产权的关键核心技术。三是推动创新型企业发展。积极推动国家科技型中小企业评价，加快推进雏鹰—瞪羚—领军企业梯度培育，组织各区加强政策宣传解读与培训，推动符合条件的企业积极参与评价。四是持续完善科技成果市场化转移转化体系。出台促进科技成果交易管理办法，举办环渤海技术交易大会，开展创新挑战赛、科技成果直通车等活动，加强与国内技术交易市场的互联互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tabs>
          <w:tab w:val="left" w:pos="7560"/>
        </w:tabs>
        <w:spacing w:line="480" w:lineRule="exact"/>
        <w:ind w:left="0" w:leftChars="0" w:right="105" w:rightChars="50" w:firstLine="5040" w:firstLineChars="1575"/>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p>
      <w:pPr>
        <w:spacing w:line="480" w:lineRule="exact"/>
        <w:ind w:right="105" w:rightChars="50"/>
        <w:rPr>
          <w:rFonts w:hint="default" w:ascii="仿宋_GB2312" w:eastAsia="仿宋_GB2312"/>
          <w:sz w:val="32"/>
          <w:lang w:val="en-US" w:eastAsia="zh-CN"/>
        </w:rPr>
      </w:pPr>
      <w:r>
        <w:rPr>
          <w:rFonts w:hint="eastAsia" w:ascii="仿宋_GB2312" w:hAnsi="仿宋_GB2312" w:eastAsia="仿宋_GB2312" w:cs="仿宋_GB2312"/>
          <w:sz w:val="32"/>
          <w:szCs w:val="18"/>
        </w:rPr>
        <w:t>（联系单位及电话：天津市科学技术局，022-</w:t>
      </w:r>
      <w:r>
        <w:rPr>
          <w:rFonts w:hint="eastAsia" w:ascii="仿宋_GB2312" w:hAnsi="仿宋_GB2312" w:eastAsia="仿宋_GB2312" w:cs="仿宋_GB2312"/>
          <w:sz w:val="32"/>
        </w:rPr>
        <w:t>58832952</w:t>
      </w:r>
      <w:r>
        <w:rPr>
          <w:rFonts w:hint="eastAsia" w:ascii="仿宋_GB2312" w:hAnsi="仿宋_GB2312" w:eastAsia="仿宋_GB2312" w:cs="仿宋_GB2312"/>
          <w:sz w:val="32"/>
          <w:szCs w:val="18"/>
        </w:rPr>
        <w:t>）</w:t>
      </w:r>
      <w:r>
        <w:rPr>
          <w:rFonts w:ascii="仿宋_GB2312" w:eastAsia="仿宋_GB2312"/>
          <w:sz w:val="32"/>
          <w:szCs w:val="18"/>
        </w:rPr>
        <w:t xml:space="preserve"> </w:t>
      </w:r>
      <w:bookmarkStart w:id="4" w:name="fyr"/>
      <w:bookmarkEnd w:id="4"/>
    </w:p>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BF876F8"/>
    <w:rsid w:val="447E3320"/>
    <w:rsid w:val="45CB5298"/>
    <w:rsid w:val="4B30475B"/>
    <w:rsid w:val="4CA33CB0"/>
    <w:rsid w:val="4D14258D"/>
    <w:rsid w:val="4F843BDE"/>
    <w:rsid w:val="57073EC0"/>
    <w:rsid w:val="57FB61A7"/>
    <w:rsid w:val="59C6063C"/>
    <w:rsid w:val="5FD698CF"/>
    <w:rsid w:val="63E612D4"/>
    <w:rsid w:val="676EF1CF"/>
    <w:rsid w:val="693053CC"/>
    <w:rsid w:val="6AB50BAB"/>
    <w:rsid w:val="6CA056C1"/>
    <w:rsid w:val="6D957ABF"/>
    <w:rsid w:val="7312333B"/>
    <w:rsid w:val="75561D3A"/>
    <w:rsid w:val="7952225A"/>
    <w:rsid w:val="7D174045"/>
    <w:rsid w:val="7D906DB7"/>
    <w:rsid w:val="7E674295"/>
    <w:rsid w:val="AFF3E00A"/>
    <w:rsid w:val="BB6C9DF3"/>
    <w:rsid w:val="BFDFA001"/>
    <w:rsid w:val="D9F51DDF"/>
    <w:rsid w:val="EB7F6A83"/>
    <w:rsid w:val="FB9A17AF"/>
    <w:rsid w:val="FFBCDE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2021-04-08T11:49:00Z</dcterms:created>
  <dc:creator>wjc</dc:creator>
  <cp:lastModifiedBy>文字审修</cp:lastModifiedBy>
  <dcterms:modified xsi:type="dcterms:W3CDTF">2022-02-22T12:59:05Z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