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对市十七届人大五次会议</w:t>
      </w:r>
      <w:r>
        <w:rPr>
          <w:rFonts w:hint="eastAsia" w:ascii="宋体" w:hAnsi="宋体"/>
          <w:b/>
          <w:bCs/>
          <w:sz w:val="44"/>
          <w:lang w:val="en-US" w:eastAsia="zh-CN"/>
        </w:rPr>
        <w:br w:type="textWrapping"/>
      </w:r>
      <w:r>
        <w:rPr>
          <w:rFonts w:hint="eastAsia" w:ascii="宋体" w:hAnsi="宋体"/>
          <w:b/>
          <w:bCs/>
          <w:sz w:val="44"/>
          <w:lang w:val="en-US" w:eastAsia="zh-CN"/>
        </w:rPr>
        <w:t>第0769号建议的落实</w:t>
      </w:r>
      <w:bookmarkEnd w:id="0"/>
      <w:r>
        <w:rPr>
          <w:rFonts w:hint="eastAsia" w:ascii="宋体" w:hAnsi="宋体"/>
          <w:b/>
          <w:bCs/>
          <w:sz w:val="44"/>
          <w:lang w:val="en-US" w:eastAsia="zh-CN"/>
        </w:rPr>
        <w:t>答复</w:t>
      </w:r>
    </w:p>
    <w:p>
      <w:pPr>
        <w:spacing w:line="560" w:lineRule="exact"/>
        <w:ind w:right="105" w:rightChars="50"/>
        <w:rPr>
          <w:rFonts w:hint="eastAsia" w:ascii="仿宋_GB2312" w:hAnsi="仿宋_GB2312" w:eastAsia="仿宋_GB2312" w:cs="仿宋_GB2312"/>
          <w:sz w:val="32"/>
        </w:rPr>
      </w:pPr>
      <w:bookmarkStart w:id="1" w:name="chenghu"/>
      <w:r>
        <w:rPr>
          <w:rFonts w:hint="eastAsia" w:ascii="仿宋_GB2312" w:hAnsi="仿宋_GB2312" w:eastAsia="仿宋_GB2312" w:cs="仿宋_GB2312"/>
          <w:sz w:val="32"/>
          <w:lang w:val="en-US" w:eastAsia="zh-CN"/>
        </w:rPr>
        <w:t>邓丽代表</w:t>
      </w:r>
      <w:bookmarkEnd w:id="1"/>
      <w:r>
        <w:rPr>
          <w:rFonts w:hint="eastAsia" w:ascii="仿宋_GB2312" w:hAnsi="仿宋_GB2312" w:eastAsia="仿宋_GB2312" w:cs="仿宋_GB2312"/>
          <w:sz w:val="32"/>
        </w:rPr>
        <w:t>：</w:t>
      </w:r>
    </w:p>
    <w:p>
      <w:pPr>
        <w:spacing w:line="560" w:lineRule="exact"/>
        <w:rPr>
          <w:rFonts w:hint="eastAsia" w:ascii="仿宋_GB2312" w:hAnsi="仿宋_GB2312" w:eastAsia="仿宋_GB2312" w:cs="仿宋_GB2312"/>
          <w:sz w:val="32"/>
        </w:rPr>
      </w:pPr>
      <w:r>
        <w:rPr>
          <w:rFonts w:hint="eastAsia" w:ascii="仿宋_GB2312" w:hAnsi="仿宋_GB2312" w:eastAsia="仿宋_GB2312" w:cs="仿宋_GB2312"/>
          <w:sz w:val="32"/>
          <w:szCs w:val="18"/>
        </w:rPr>
        <w:t>　　</w:t>
      </w:r>
      <w:bookmarkStart w:id="2" w:name="shuo"/>
      <w:r>
        <w:rPr>
          <w:rFonts w:hint="eastAsia" w:ascii="仿宋_GB2312" w:hAnsi="仿宋_GB2312" w:eastAsia="仿宋_GB2312" w:cs="仿宋_GB2312"/>
          <w:sz w:val="32"/>
          <w:szCs w:val="18"/>
          <w:lang w:val="en-US" w:eastAsia="zh-CN"/>
        </w:rPr>
        <w:t>您提出的“关于加强提高疫情防控科技水平的建议”，经会同市工业和信息化局研究答复如下</w:t>
      </w:r>
      <w:bookmarkEnd w:id="2"/>
      <w:r>
        <w:rPr>
          <w:rFonts w:hint="eastAsia" w:ascii="仿宋_GB2312" w:hAnsi="仿宋_GB2312" w:eastAsia="仿宋_GB2312" w:cs="仿宋_GB2312"/>
          <w:sz w:val="32"/>
          <w:szCs w:val="18"/>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一、我市生物医药产业快速发展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市委、市政府高度重视生物医药产业的发展，生物医药产业是我市加快构建“1+3+4”现代工业产业体系的重要组成部分，也是我市制造业立市重点推动的产业链之一。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我市在生物医药产业建立了比较扎实的创新体系，创新生态比较优越，特别在中医药、合成生物技术、细胞治疗、疫苗等细分领域具有突出实力。“十三五”以来，面向“重大新药创制”等科技重大专项、“中医药现代化研究”和“生物医用材料研发与组织器官修复替代”等国家重点专项，市科技局组织相关单位积极申报，共有近80个研究项目获得国家支持，获中央财政经费约10亿元。同时启动实施了天津市新药创制、中高端医疗器械、重大疾病防治、互联网+医疗健康、新一代人工智能智能医疗等科技重大专项和天津市合成生物技术创新能力提升行动，突破了一批关键技术，引进了一批高水平创新人才和团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二、加强顶层设计，积极编制生物医药产业链工作方案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市科技局全面落实市委、市政府关于“坚持制造业立市，建设制造强市”的决策部署，会同我市相关单位编制了《天津市生物医药产业链工作方案》。围绕对标先进、广泛调研、深入研究、完善方案、征求意见等方面开展了一系列工作。一是成立工作小组，与各有关单位多次沟通协调，统筹推进文本编制；二是开展专题调研，面向本市生物医药重点企业发放调查问卷，了解企业主要技术和产品情况、经营发展情况、发展目标、在建拟建重点项目及政策需求等，并实地走访部分领军企业、科研院所和知名专家；三是提出初步方案后，广泛征求意见，先后3次征求了市发展改革委、市卫生健康委、市药监局等20个部门及滨海新区、武清区、北辰区等8个行政区（功能区）的意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三、组织实施天津市公共卫生科技重大专项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对接国家“健康中国”创新2030重大专项和“十四五”国家重点研发计划“病原学与防疫技术体系研究”、“常见多发病防治研究”“主动健康和老龄化科技应对”等专项，组织实施天津市公共卫生科技重大专项本专项，针对重大传染病预防控制技术、常见多发病防治技术等进行研究，将新冠肺炎常态化预防控制技术研究作为重点支持方向。重点支持重大传染病病原体的发现、溯源及预警预测，重大传染病临床防治，重大新发突发传染病防控一体化体系建立，新冠肺炎检测迭代技术等。目前正在面向全市开展项目征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szCs w:val="18"/>
          <w:lang w:eastAsia="zh-CN"/>
        </w:rPr>
        <w:t>再次</w:t>
      </w:r>
      <w:r>
        <w:rPr>
          <w:rFonts w:hint="eastAsia" w:ascii="仿宋_GB2312" w:hAnsi="仿宋_GB2312" w:eastAsia="仿宋_GB2312" w:cs="仿宋_GB2312"/>
          <w:sz w:val="32"/>
          <w:szCs w:val="18"/>
        </w:rPr>
        <w:t>感谢您对科技工作的关心支持和提出的宝贵建议</w:t>
      </w:r>
      <w:r>
        <w:rPr>
          <w:rFonts w:hint="eastAsia" w:ascii="仿宋_GB2312" w:hAnsi="仿宋_GB2312" w:eastAsia="仿宋_GB2312" w:cs="仿宋_GB2312"/>
          <w:sz w:val="32"/>
          <w:szCs w:val="18"/>
          <w:lang w:eastAsia="zh-CN"/>
        </w:rPr>
        <w:t>。</w:t>
      </w:r>
      <w:r>
        <w:rPr>
          <w:rFonts w:hint="eastAsia" w:ascii="仿宋_GB2312" w:hAnsi="仿宋_GB2312" w:eastAsia="仿宋_GB2312" w:cs="仿宋_GB2312"/>
          <w:sz w:val="32"/>
          <w:lang w:val="en-US" w:eastAsia="zh-CN"/>
        </w:rPr>
        <w:t>下一步，市科技局将会同相关部门，充分发挥政府引导和政策支持作用，激活高校、科研机构、医疗机构的创业积极性，打造创新创业平台，放开应用场景，撬动全社会力量集中资源加大对生物医药产业的投入力度，形成创新要素集聚、市场活力迸发的产业发展新生态，着力推进生物医药产业快速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spacing w:line="480" w:lineRule="exact"/>
        <w:ind w:right="105" w:rightChars="50"/>
        <w:jc w:val="both"/>
        <w:rPr>
          <w:rFonts w:hint="eastAsia" w:ascii="仿宋_GB2312" w:eastAsia="仿宋_GB2312"/>
          <w:sz w:val="32"/>
        </w:rPr>
      </w:pPr>
      <w:bookmarkStart w:id="3" w:name="now"/>
      <w:r>
        <w:rPr>
          <w:rFonts w:hint="eastAsia" w:ascii="仿宋_GB2312" w:eastAsia="仿宋_GB2312"/>
          <w:sz w:val="32"/>
          <w:lang w:val="en-US" w:eastAsia="zh-CN"/>
        </w:rPr>
        <w:t xml:space="preserve">                                   2021年9月23日</w:t>
      </w:r>
      <w:bookmarkEnd w:id="3"/>
      <w:r>
        <w:rPr>
          <w:rFonts w:hint="eastAsia" w:ascii="仿宋_GB2312" w:eastAsia="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eastAsia="仿宋_GB2312"/>
          <w:sz w:val="32"/>
        </w:rPr>
      </w:pPr>
      <w:r>
        <w:rPr>
          <w:rFonts w:hint="eastAsia" w:ascii="仿宋_GB2312" w:hAnsi="仿宋_GB2312" w:eastAsia="仿宋_GB2312" w:cs="仿宋_GB2312"/>
          <w:sz w:val="32"/>
          <w:szCs w:val="18"/>
        </w:rPr>
        <w:t>（联系单位及电话：天津市科学技术局，022-</w:t>
      </w:r>
      <w:r>
        <w:rPr>
          <w:rFonts w:hint="eastAsia" w:ascii="仿宋_GB2312" w:eastAsia="仿宋_GB2312"/>
          <w:sz w:val="32"/>
        </w:rPr>
        <w:t>58326712</w:t>
      </w:r>
      <w:r>
        <w:rPr>
          <w:rFonts w:hint="eastAsia" w:ascii="仿宋_GB2312" w:hAnsi="仿宋_GB2312" w:eastAsia="仿宋_GB2312" w:cs="仿宋_GB2312"/>
          <w:sz w:val="32"/>
          <w:szCs w:val="18"/>
        </w:rPr>
        <w:t>）</w:t>
      </w:r>
    </w:p>
    <w:p>
      <w:pPr>
        <w:spacing w:line="20" w:lineRule="exact"/>
        <w:ind w:right="1151" w:rightChars="548"/>
        <w:rPr>
          <w:rFonts w:hint="eastAsia"/>
        </w:rPr>
      </w:pPr>
      <w:bookmarkStart w:id="4" w:name="_GoBack"/>
      <w:bookmarkEnd w:id="4"/>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377A2E5E"/>
    <w:rsid w:val="385C0DBD"/>
    <w:rsid w:val="3A57702C"/>
    <w:rsid w:val="447E3320"/>
    <w:rsid w:val="45CB5298"/>
    <w:rsid w:val="4B30475B"/>
    <w:rsid w:val="4CA33CB0"/>
    <w:rsid w:val="4D14258D"/>
    <w:rsid w:val="4F843BDE"/>
    <w:rsid w:val="57073EC0"/>
    <w:rsid w:val="59C6063C"/>
    <w:rsid w:val="63E612D4"/>
    <w:rsid w:val="693053CC"/>
    <w:rsid w:val="6AB50BAB"/>
    <w:rsid w:val="6CA056C1"/>
    <w:rsid w:val="6D957ABF"/>
    <w:rsid w:val="7312333B"/>
    <w:rsid w:val="75561D3A"/>
    <w:rsid w:val="75FFF676"/>
    <w:rsid w:val="77DBE8C0"/>
    <w:rsid w:val="7952225A"/>
    <w:rsid w:val="7D174045"/>
    <w:rsid w:val="7D906DB7"/>
    <w:rsid w:val="7E674295"/>
    <w:rsid w:val="C7F95F0D"/>
    <w:rsid w:val="EFEF7CB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2021-04-06T19:49:00Z</dcterms:created>
  <dc:creator>wjc</dc:creator>
  <cp:lastModifiedBy>文字审修</cp:lastModifiedBy>
  <dcterms:modified xsi:type="dcterms:W3CDTF">2022-02-22T13:12:05Z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