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对市十七届人大五次会议</w:t>
      </w:r>
      <w:r>
        <w:rPr>
          <w:rFonts w:hint="eastAsia" w:ascii="宋体" w:hAnsi="宋体"/>
          <w:b/>
          <w:bCs/>
          <w:sz w:val="44"/>
          <w:lang w:val="en-US" w:eastAsia="zh-CN"/>
        </w:rPr>
        <w:br w:type="textWrapping"/>
      </w:r>
      <w:r>
        <w:rPr>
          <w:rFonts w:hint="eastAsia" w:ascii="宋体" w:hAnsi="宋体"/>
          <w:b/>
          <w:bCs/>
          <w:sz w:val="44"/>
          <w:lang w:val="en-US" w:eastAsia="zh-CN"/>
        </w:rPr>
        <w:t>第0316号建议的落实</w:t>
      </w:r>
      <w:bookmarkEnd w:id="0"/>
      <w:r>
        <w:rPr>
          <w:rFonts w:hint="eastAsia" w:ascii="宋体" w:hAnsi="宋体"/>
          <w:b/>
          <w:bCs/>
          <w:sz w:val="44"/>
          <w:lang w:val="en-US" w:eastAsia="zh-CN"/>
        </w:rPr>
        <w:t>答复</w:t>
      </w:r>
    </w:p>
    <w:p>
      <w:pPr>
        <w:keepNext w:val="0"/>
        <w:keepLines w:val="0"/>
        <w:pageBreakBefore w:val="0"/>
        <w:widowControl w:val="0"/>
        <w:kinsoku/>
        <w:wordWrap/>
        <w:overflowPunct/>
        <w:topLinePunct w:val="0"/>
        <w:autoSpaceDE/>
        <w:autoSpaceDN/>
        <w:bidi w:val="0"/>
        <w:adjustRightInd/>
        <w:snapToGrid/>
        <w:spacing w:line="540" w:lineRule="exact"/>
        <w:ind w:right="105" w:rightChars="50"/>
        <w:textAlignment w:val="auto"/>
        <w:rPr>
          <w:rFonts w:hint="eastAsia" w:ascii="仿宋_GB2312" w:hAnsi="仿宋_GB2312" w:eastAsia="仿宋_GB2312" w:cs="仿宋_GB2312"/>
          <w:sz w:val="32"/>
          <w:szCs w:val="32"/>
        </w:rPr>
      </w:pPr>
      <w:bookmarkStart w:id="1" w:name="chenghu"/>
      <w:r>
        <w:rPr>
          <w:rFonts w:hint="eastAsia" w:ascii="仿宋_GB2312" w:hAnsi="仿宋_GB2312" w:eastAsia="仿宋_GB2312" w:cs="仿宋_GB2312"/>
          <w:sz w:val="32"/>
          <w:szCs w:val="32"/>
          <w:lang w:val="en-US" w:eastAsia="zh-CN"/>
        </w:rPr>
        <w:t>韩洪涛代表</w:t>
      </w:r>
      <w:bookmarkEnd w:id="1"/>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bookmarkStart w:id="2" w:name="shuo"/>
      <w:r>
        <w:rPr>
          <w:rFonts w:hint="eastAsia" w:ascii="仿宋_GB2312" w:hAnsi="仿宋_GB2312" w:eastAsia="仿宋_GB2312" w:cs="仿宋_GB2312"/>
          <w:sz w:val="32"/>
          <w:szCs w:val="32"/>
          <w:lang w:val="en-US" w:eastAsia="zh-CN"/>
        </w:rPr>
        <w:t>您提出的“关于壮大创新载体，营造良好创新生态体系的建议”，经会同市人力社保局、市文化和旅游局、市商务局研究答复如下</w:t>
      </w:r>
      <w:bookmarkEnd w:id="2"/>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一、大力引导科研机构服务企业创新发展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科技局将“揭榜挂帅”作为“十四五”期间重大科技项目形成机制和组织实施改革的主攻方向，聚焦我市重点领域重大技术瓶颈和关键科学问题，遵循“不设门槛、企业主角、充分赋权、限时攻关”的原则，按照“定榜发榜、揭榜定帅、挂帅攻关、验收奖惩”等四个阶段组织实施。今年我市已经发布了2021年天津市新一代人工智能科技重大专项“揭榜挂帅”榜单，聚焦3个方向，引导支持3个项目，每个项目财政支持额度分别为800-1000万元、800-1000万元、300-500万元，以突破“卡脖子”关键核心技术、提升重大科技成果的“实战性”、推动产业基础高级化产业链现代化。</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市积极开展对接服务，盘活服务资源，对外持续与中科院等加强合作，对内加强部门协同，面向我市产业发展需求。今年以来，市科技局先后组织征集与中科院合作先进制造领域重大研发需求，征集国家新一代人工智能创新发展试验区重大项目和平台，征集医工（产学研医）结合对接需求，市科技局、市教委、津南区政府组织召开科教产业融合对接会，市科技局、市国资委举办“产研汇”、“科技成果俏津门”活动暨人工智能产业成果对接交流会，通过推动供需对接，加强产学研深度合作、协同创新，一方面为科技服务机构寻求发展机会，另一方面支撑服务我市重点产业创新发展，推动更多科技成果转化为我市经济发展的现实动力。</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二、加强评估工作和宣传工作，推动科技服务规范化、高质量发展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推动我市众创空间高质量发展，提高孵化服务水平，支撑新动能引育，市科技局组织开展了2021年天津市众创空间绩效评估工作，6家机构评为优秀，评估为良好、合格、不合格的分别为11家、20家、10家；市科技局组织开展了2021年市级孵化器绩效评估工作，11家科技企业孵化器中，1家优秀，4家良好，4家合格，2家被评为不合格。按照市委、市政府新动能引育工作部署，我市将大力培育高新技术企业作为高质量发展的重要抓手，为进一步加强对中介机构参与高企认定工作的管理，我市出台相关办法，采取了强化中介机构行业自律教育、建立咨询服务机构“黑名单”等举措。</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三、积极推动构建综合创新生态体系</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为加快推进我市技术创新中心建设，优化和完善以企业为主体的市级技术创新体系，市科技局坚持“少而精”原则，组织开展2021年天津市技术创新中心组建工作；二是为加快引进培育、发展壮大一批产业技术研究院，市科技局推动开展2021年度天津市产业技术研究院认定与绩效考核工作；三是加大政策引导力度，突出市场化手段，市科技局组织对2021年第一批天津市促进科技成果转化交易项目进行后补助；四是出台《天津市人民政府关于加快推进天津市大学科技园建设的指导意见》，加快推进我市大学科技园建设，激发高校创新主体的积极性和创造性，促进科技、教育和经济融通发展，以提升创新创业服务能力为着力点，发挥高校和所在区“双主体”作用，提升大学科技园成果转化、创业孵化、集聚资源、培育人才和协同创新等核心功能，使其成为高校成果转化“首站”、区域创新创业“核心孵化园”和新兴产业“策源地”。</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四、积极推动培育“互联网+”服务新模式新业态</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打造跨境电商示范园区。市商务局围绕进一步加快形成跨境电商产业良好生态，与市财政局联合印发了《天津市跨境电子商务示范园区评选方案》，并在全市范围内认定了首批3家跨境电商示范园区，抖音、闲鱼、蜗牛云仓、深圳易仓、大森林物流、海天祥泰、万邑通等跨境电商企业，以及天津开放大学、天津师范大学、商务职业学院等一批高校成功入驻园区，带动园区上下游全产业链集聚发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加大重点企业、项目引育帮扶。深化与字节跳动、美团、京东、阿里等特大型电商企业的联系沟通，吸引企业来津考察争取推动更多新板块落地；持续推动培育我市拾起卖、津贸通、绫致服装、艺点意创等优秀电商企业，打造本土电商标杆。在此基础上，初步拟定全市电子商务种子企业白名单工作方案及遴选办法，组织各区商务主管部门推荐种子企业，拟分别梳理建立电子商务种子企业、优质企业、头部企业白名单，给予全方位支持帮助，培育行业标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是支持推动平台型企业加强技术开发和应用。市科技局通过“基于在线云服务的文创资源信息化平台的研发”等项目，支持企业和高校加强合作，推动大数据、区块链等平台技术开发和应用，充分发挥新一代信息技术在产业智能化改造升级中的助推作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五、积极培育壮大技能人才队伍</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认真开展技术经纪职称评审工作。为深入实施人才强市战略，畅通技术转移专业技术人员职业发展通道，促进自主创新重要源头和原始创新主要策源地建设，2020年11月，市人社局会同市科技局制定印发《关于开展技术经纪专业职称评价工作的通知》（津人社规字〔2020〕8号），在工程技术职称系列中增设技术经纪专业，对从事以促进科技成果转化应用为目的，将促进技术与产业、人才和资本等要素资源有机融合与高效配置，提供技术转移全链条、专业化服务工作的专业技术人员开展职称评价。今年7月，我市首批工程技术系列技术经纪专业职称的评审、聘任工作结束，有58名技术转移人才获得技术经纪专业职称，标志着我市正式建立了技术转移转化人才职称评价制度和职称晋升机制，打通了技术经理人职业发展通道。</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不断加强创新型、应用型、技能型人才培养工作。遴选第六批“131”创新人才团队48个，培训专技骨干3700余人。深入实施“海河工匠”建设工程，开展大规模职业技能培训。对参加职业技能培训人员，依规给予职业培训补贴。2021年上半年，开展补贴性职业技能培训19.6万人次，通过政策引导，不断提升劳动者技能水平和职业素养，推动我市创新型、应用型、技能型人才培养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eastAsia="仿宋_GB2312"/>
          <w:sz w:val="32"/>
          <w:szCs w:val="18"/>
          <w:lang w:eastAsia="zh-CN"/>
        </w:rPr>
        <w:t>再次</w:t>
      </w:r>
      <w:r>
        <w:rPr>
          <w:rFonts w:hint="eastAsia" w:ascii="仿宋_GB2312" w:eastAsia="仿宋_GB2312"/>
          <w:sz w:val="32"/>
          <w:szCs w:val="18"/>
        </w:rPr>
        <w:t>感谢您对科技工作的关心支持和提出的宝贵建议</w:t>
      </w:r>
      <w:r>
        <w:rPr>
          <w:rFonts w:hint="eastAsia" w:ascii="仿宋_GB2312" w:eastAsia="仿宋_GB2312"/>
          <w:sz w:val="32"/>
          <w:szCs w:val="18"/>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105" w:rightChars="50" w:firstLine="5040" w:firstLineChars="1575"/>
        <w:jc w:val="both"/>
        <w:textAlignment w:val="auto"/>
        <w:rPr>
          <w:rFonts w:hint="eastAsia" w:ascii="仿宋_GB2312" w:hAnsi="仿宋_GB2312" w:eastAsia="仿宋_GB2312" w:cs="仿宋_GB2312"/>
          <w:sz w:val="32"/>
          <w:szCs w:val="32"/>
        </w:rPr>
      </w:pPr>
      <w:bookmarkStart w:id="3" w:name="now"/>
      <w:r>
        <w:rPr>
          <w:rFonts w:hint="eastAsia" w:ascii="仿宋_GB2312" w:hAnsi="仿宋_GB2312" w:eastAsia="仿宋_GB2312" w:cs="仿宋_GB2312"/>
          <w:sz w:val="32"/>
          <w:szCs w:val="32"/>
          <w:lang w:val="en-US" w:eastAsia="zh-CN"/>
        </w:rPr>
        <w:t xml:space="preserve">  2021年9月22日</w:t>
      </w:r>
      <w:bookmarkEnd w:id="3"/>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40" w:lineRule="exact"/>
        <w:ind w:right="105" w:rightChars="5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right="105" w:rightChars="5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rPr>
        <w:t xml:space="preserve"> </w:t>
      </w:r>
      <w:bookmarkStart w:id="5" w:name="_GoBack"/>
      <w:bookmarkEnd w:id="5"/>
      <w:bookmarkStart w:id="4" w:name="fyr"/>
      <w:bookmarkEnd w:id="4"/>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58832930</w:t>
      </w:r>
      <w:r>
        <w:rPr>
          <w:rFonts w:hint="eastAsia" w:ascii="仿宋_GB2312" w:hAnsi="仿宋_GB2312" w:eastAsia="仿宋_GB2312" w:cs="仿宋_GB2312"/>
          <w:sz w:val="32"/>
          <w:szCs w:val="18"/>
        </w:rPr>
        <w:t>）</w:t>
      </w:r>
    </w:p>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2FFFBB68"/>
    <w:rsid w:val="377A2E5E"/>
    <w:rsid w:val="385C0DBD"/>
    <w:rsid w:val="3A57702C"/>
    <w:rsid w:val="447E3320"/>
    <w:rsid w:val="45CB5298"/>
    <w:rsid w:val="4B30475B"/>
    <w:rsid w:val="4CA33CB0"/>
    <w:rsid w:val="4D14258D"/>
    <w:rsid w:val="4F843BDE"/>
    <w:rsid w:val="57073EC0"/>
    <w:rsid w:val="59C6063C"/>
    <w:rsid w:val="5EFBD1C1"/>
    <w:rsid w:val="63E612D4"/>
    <w:rsid w:val="693053CC"/>
    <w:rsid w:val="6AB50BAB"/>
    <w:rsid w:val="6CA056C1"/>
    <w:rsid w:val="6D957ABF"/>
    <w:rsid w:val="7312333B"/>
    <w:rsid w:val="75561D3A"/>
    <w:rsid w:val="7952225A"/>
    <w:rsid w:val="7A6FAC59"/>
    <w:rsid w:val="7D174045"/>
    <w:rsid w:val="7D906DB7"/>
    <w:rsid w:val="7E674295"/>
    <w:rsid w:val="A7FF0C28"/>
    <w:rsid w:val="BF6EF58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2022-02-22T13:04:34Z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