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37" w:type="pct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/>
                <w:b/>
                <w:bCs/>
                <w:sz w:val="44"/>
                <w:lang w:val="en-US" w:eastAsia="zh-CN"/>
              </w:rPr>
            </w:pPr>
            <w:bookmarkStart w:id="0" w:name="bt"/>
            <w:r>
              <w:rPr>
                <w:rFonts w:hint="eastAsia" w:ascii="Nimbus Roman No9 L" w:hAnsi="Nimbus Roman No9 L"/>
                <w:b/>
                <w:bCs/>
                <w:sz w:val="44"/>
                <w:lang w:val="en-US" w:eastAsia="zh-CN"/>
              </w:rPr>
              <w:t>对市十七届人大六次会议</w:t>
            </w:r>
            <w:r>
              <w:rPr>
                <w:rFonts w:hint="eastAsia" w:ascii="Nimbus Roman No9 L" w:hAnsi="Nimbus Roman No9 L"/>
                <w:b/>
                <w:bCs/>
                <w:sz w:val="44"/>
                <w:lang w:val="en-US" w:eastAsia="zh-CN"/>
              </w:rPr>
              <w:br w:type="textWrapping"/>
            </w:r>
            <w:r>
              <w:rPr>
                <w:rFonts w:hint="eastAsia" w:ascii="Nimbus Roman No9 L" w:hAnsi="Nimbus Roman No9 L"/>
                <w:b/>
                <w:bCs/>
                <w:sz w:val="44"/>
                <w:lang w:val="en-US" w:eastAsia="zh-CN"/>
              </w:rPr>
              <w:t>第0018号建议的落实</w:t>
            </w:r>
            <w:bookmarkEnd w:id="0"/>
            <w:r>
              <w:rPr>
                <w:rFonts w:hint="eastAsia" w:ascii="Nimbus Roman No9 L" w:hAnsi="Nimbus Roman No9 L"/>
                <w:b/>
                <w:bCs/>
                <w:sz w:val="44"/>
                <w:lang w:val="en-US" w:eastAsia="zh-CN"/>
              </w:rPr>
              <w:t>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ind w:right="105" w:rightChars="50"/>
              <w:rPr>
                <w:rFonts w:ascii="Nimbus Roman No9 L" w:hAnsi="Nimbus Roman No9 L" w:eastAsia="仿宋_GB2312"/>
                <w:sz w:val="32"/>
              </w:rPr>
            </w:pPr>
            <w:bookmarkStart w:id="1" w:name="chenghu"/>
            <w:r>
              <w:rPr>
                <w:rFonts w:hint="eastAsia" w:ascii="Nimbus Roman No9 L" w:hAnsi="Nimbus Roman No9 L" w:eastAsia="仿宋_GB2312"/>
                <w:sz w:val="32"/>
                <w:lang w:val="en-US" w:eastAsia="zh-CN"/>
              </w:rPr>
              <w:t>刘智代表</w:t>
            </w:r>
            <w:bookmarkEnd w:id="1"/>
            <w:r>
              <w:rPr>
                <w:rFonts w:ascii="Nimbus Roman No9 L" w:hAnsi="Nimbus Roman No9 L" w:eastAsia="仿宋_GB2312"/>
                <w:sz w:val="32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ascii="Nimbus Roman No9 L" w:hAnsi="Nimbus Roman No9 L" w:eastAsia="仿宋_GB2312"/>
                <w:sz w:val="32"/>
              </w:rPr>
            </w:pPr>
            <w:r>
              <w:rPr>
                <w:rFonts w:ascii="Nimbus Roman No9 L" w:hAnsi="Nimbus Roman No9 L" w:eastAsia="仿宋_GB2312"/>
                <w:sz w:val="32"/>
                <w:szCs w:val="18"/>
              </w:rPr>
              <w:t>　　</w:t>
            </w:r>
            <w:bookmarkStart w:id="2" w:name="shuo"/>
            <w:r>
              <w:rPr>
                <w:rFonts w:hint="eastAsia" w:ascii="Nimbus Roman No9 L" w:hAnsi="Nimbus Roman No9 L" w:eastAsia="仿宋_GB2312"/>
                <w:sz w:val="32"/>
                <w:szCs w:val="18"/>
                <w:lang w:val="en-US" w:eastAsia="zh-CN"/>
              </w:rPr>
              <w:t>您提出的关于紧盯高端前沿，引智提升创新能力 向名企名校借动能的建议，经研究答复如下</w:t>
            </w:r>
            <w:bookmarkEnd w:id="2"/>
            <w:r>
              <w:rPr>
                <w:rFonts w:ascii="Nimbus Roman No9 L" w:hAnsi="Nimbus Roman No9 L" w:eastAsia="仿宋_GB2312"/>
                <w:sz w:val="32"/>
                <w:szCs w:val="18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105" w:rightChars="50" w:firstLine="640" w:firstLineChars="200"/>
              <w:textAlignment w:val="auto"/>
              <w:rPr>
                <w:rFonts w:hint="eastAsia" w:ascii="Nimbus Roman No9 L" w:hAnsi="Nimbus Roman No9 L" w:eastAsia="仿宋_GB2312"/>
                <w:sz w:val="32"/>
                <w:szCs w:val="18"/>
                <w:lang w:eastAsia="zh-CN"/>
              </w:rPr>
            </w:pPr>
            <w:r>
              <w:rPr>
                <w:rFonts w:hint="eastAsia" w:ascii="Nimbus Roman No9 L" w:hAnsi="Nimbus Roman No9 L" w:eastAsia="仿宋_GB2312" w:cs="仿宋_GB2312"/>
                <w:sz w:val="32"/>
                <w:szCs w:val="32"/>
                <w:lang w:val="en-US" w:eastAsia="zh-CN"/>
              </w:rPr>
              <w:t>您在建议中提出的“大力推进科技企业培育、重大项目落地和成果对接”、“给予重大战略性高端研发机构重点扶持”、“推动一批关键技术突破和重大成果转化”、“探索实施重大技术‘揭榜挂帅’机制”等思路建议，</w:t>
            </w:r>
            <w:r>
              <w:rPr>
                <w:rFonts w:hint="eastAsia" w:ascii="Nimbus Roman No9 L" w:hAnsi="Nimbus Roman No9 L" w:eastAsia="仿宋_GB2312"/>
                <w:sz w:val="32"/>
                <w:szCs w:val="32"/>
                <w:lang w:eastAsia="zh-CN"/>
              </w:rPr>
              <w:t>已</w:t>
            </w:r>
            <w:r>
              <w:rPr>
                <w:rFonts w:hint="eastAsia" w:ascii="Nimbus Roman No9 L" w:hAnsi="Nimbus Roman No9 L" w:eastAsia="仿宋_GB2312"/>
                <w:b w:val="0"/>
                <w:bCs/>
                <w:sz w:val="32"/>
                <w:szCs w:val="32"/>
                <w:lang w:eastAsia="zh-CN"/>
              </w:rPr>
              <w:t>吸纳入我市当前科技创新工作中，</w:t>
            </w:r>
            <w:r>
              <w:rPr>
                <w:rFonts w:hint="eastAsia" w:ascii="Nimbus Roman No9 L" w:hAnsi="Nimbus Roman No9 L" w:eastAsia="仿宋_GB2312"/>
                <w:sz w:val="32"/>
                <w:szCs w:val="18"/>
                <w:lang w:eastAsia="zh-CN"/>
              </w:rPr>
              <w:t>并取得了阶段性的进展。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105" w:rightChars="50" w:firstLine="642" w:firstLineChars="200"/>
              <w:textAlignment w:val="auto"/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Nimbus Roman No9 L" w:hAnsi="Nimbus Roman No9 L" w:eastAsia="仿宋_GB2312"/>
                <w:b/>
                <w:bCs/>
                <w:sz w:val="32"/>
                <w:szCs w:val="18"/>
                <w:lang w:eastAsia="zh-CN"/>
              </w:rPr>
              <w:t>一是</w:t>
            </w:r>
            <w:r>
              <w:rPr>
                <w:rFonts w:hint="eastAsia" w:ascii="Nimbus Roman No9 L" w:hAnsi="Nimbus Roman No9 L" w:eastAsia="仿宋_GB2312" w:cs="仿宋_GB2312"/>
                <w:b/>
                <w:bCs/>
                <w:color w:val="auto"/>
                <w:sz w:val="32"/>
                <w:szCs w:val="32"/>
                <w:lang w:eastAsia="zh-CN"/>
              </w:rPr>
              <w:t>高水平建设海河实验室。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snapToGrid w:val="0"/>
                <w:color w:val="auto"/>
                <w:kern w:val="0"/>
                <w:sz w:val="32"/>
                <w:szCs w:val="32"/>
                <w:lang w:eastAsia="zh-CN"/>
              </w:rPr>
              <w:t>成立海河实验室创新联合体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napToGrid w:val="0"/>
                <w:color w:val="auto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eastAsia="zh-CN"/>
              </w:rPr>
              <w:t>首批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</w:rPr>
              <w:t>吸引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eastAsia="zh-CN"/>
              </w:rPr>
              <w:t>了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</w:rPr>
              <w:t>11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val="en-US" w:eastAsia="zh-CN"/>
              </w:rPr>
              <w:t>7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eastAsia="zh-CN"/>
              </w:rPr>
              <w:t>家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</w:rPr>
              <w:t>成员单位加入</w:t>
            </w:r>
            <w:r>
              <w:rPr>
                <w:rStyle w:val="12"/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eastAsia="zh-CN"/>
              </w:rPr>
              <w:t>，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"/>
              </w:rPr>
              <w:t>进一步促进了海河实验室开放交流合作、资源聚集共享、凝聚发展合力。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kern w:val="0"/>
                <w:sz w:val="32"/>
                <w:szCs w:val="32"/>
                <w:lang w:eastAsia="zh-CN"/>
              </w:rPr>
              <w:t>加大与产业合作力度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color w:val="auto"/>
                <w:kern w:val="0"/>
                <w:sz w:val="32"/>
                <w:szCs w:val="32"/>
                <w:lang w:eastAsia="zh-CN"/>
              </w:rPr>
              <w:t>，坚持“面向产业，重在应用”，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kern w:val="0"/>
                <w:sz w:val="32"/>
                <w:szCs w:val="32"/>
                <w:lang w:eastAsia="zh-CN"/>
              </w:rPr>
              <w:t>实验室与渤海化工集团、天士力控股集团有限公司、中源协和等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企业进行合作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napToGrid w:val="0"/>
                <w:color w:val="auto"/>
                <w:kern w:val="0"/>
                <w:sz w:val="32"/>
                <w:szCs w:val="32"/>
                <w:lang w:val="en-US" w:eastAsia="zh-CN" w:bidi="ar-SA"/>
              </w:rPr>
              <w:t>。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推进自主项目立项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，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eastAsia="zh-CN"/>
              </w:rPr>
              <w:t>聚焦产业关键共性技术突破，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snapToGrid w:val="0"/>
                <w:color w:val="auto"/>
                <w:kern w:val="0"/>
                <w:sz w:val="32"/>
                <w:szCs w:val="32"/>
                <w:lang w:eastAsia="zh-CN"/>
              </w:rPr>
              <w:t>力争从科技创新源头解决“卡脖子”难题，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</w:rPr>
              <w:t>已完成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eastAsia="zh-CN"/>
              </w:rPr>
              <w:t>首批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</w:rPr>
              <w:t>自主立项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eastAsia="zh-CN"/>
              </w:rPr>
              <w:t>项目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</w:rPr>
              <w:t>119项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eastAsia="zh-CN"/>
              </w:rPr>
              <w:t>，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</w:rPr>
              <w:t>其中支撑产业应用的占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val="en-US" w:eastAsia="zh-CN"/>
              </w:rPr>
              <w:t>80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</w:rPr>
              <w:t>%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eastAsia="zh-CN"/>
              </w:rPr>
              <w:t>以上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pacing w:val="-6"/>
                <w:sz w:val="32"/>
                <w:szCs w:val="32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05" w:rightChars="50" w:firstLine="642" w:firstLineChars="200"/>
              <w:textAlignment w:val="auto"/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Nimbus Roman No9 L" w:hAnsi="Nimbus Roman No9 L" w:eastAsia="仿宋_GB2312" w:cs="Nimbus Roman No9 L"/>
                <w:b/>
                <w:bCs/>
                <w:color w:val="auto"/>
                <w:kern w:val="2"/>
                <w:sz w:val="32"/>
                <w:szCs w:val="32"/>
                <w:lang w:val="en-US" w:eastAsia="zh-CN" w:bidi="ar-SA"/>
              </w:rPr>
              <w:t>二是加快创新型企业发展。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  <w:t>加大科技型企业梯度培育力度，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napToGrid w:val="0"/>
                <w:color w:val="auto"/>
                <w:kern w:val="0"/>
                <w:sz w:val="32"/>
                <w:szCs w:val="32"/>
                <w:lang w:val="en" w:eastAsia="zh-CN"/>
              </w:rPr>
              <w:t>截至目前，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napToGrid w:val="0"/>
                <w:color w:val="auto"/>
                <w:kern w:val="0"/>
                <w:sz w:val="32"/>
                <w:szCs w:val="32"/>
                <w:lang w:val="en-US" w:eastAsia="zh-CN"/>
              </w:rPr>
              <w:t>评价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napToGrid w:val="0"/>
                <w:color w:val="auto"/>
                <w:kern w:val="0"/>
                <w:sz w:val="32"/>
                <w:szCs w:val="32"/>
                <w:lang w:val="en" w:eastAsia="zh-CN"/>
              </w:rPr>
              <w:t>入库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napToGrid w:val="0"/>
                <w:color w:val="auto"/>
                <w:kern w:val="0"/>
                <w:sz w:val="32"/>
                <w:szCs w:val="32"/>
                <w:lang w:val="en-US" w:eastAsia="zh-CN"/>
              </w:rPr>
              <w:t>雏鹰企业3746家、瞪羚企业361家、科技领军（培育）企业275家。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  <w:t>举办2022年天津市百强“雏鹰—瞪羚—领军”科技型企业发布暨天使母基金启动会，评选优秀企业并向社会发布，搭建企业与各类创新要素的合作交流平台，助推科技型企业高质量发展。推进实施国家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val="en-US" w:eastAsia="zh-CN"/>
              </w:rPr>
              <w:t>高企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val="en-US" w:eastAsia="zh-CN"/>
              </w:rPr>
              <w:t>倍增行动计划，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val="en-US" w:eastAsia="zh-CN"/>
              </w:rPr>
              <w:t>及时兑现奖励资金5.05亿元，企业所得税减按15%征收，预计减免企业所得税58亿元。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  <w:t>积极推动落实企业研发投入后补助政策，</w:t>
            </w:r>
            <w:r>
              <w:rPr>
                <w:rFonts w:hint="eastAsia" w:ascii="Nimbus Roman No9 L" w:hAnsi="Nimbus Roman No9 L" w:eastAsia="仿宋_GB2312" w:cs="仿宋_GB2312"/>
                <w:b w:val="0"/>
                <w:bCs w:val="0"/>
                <w:color w:val="auto"/>
                <w:sz w:val="32"/>
                <w:szCs w:val="32"/>
                <w:lang w:val="en-US" w:eastAsia="zh-CN"/>
              </w:rPr>
              <w:t>为2279家企业落实补助资金3.75亿元，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  <w:t>持续引导全社会加大研发投入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05" w:rightChars="50" w:firstLine="642" w:firstLineChars="200"/>
              <w:textAlignment w:val="auto"/>
              <w:rPr>
                <w:rFonts w:hint="eastAsia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Nimbus Roman No9 L" w:hAnsi="Nimbus Roman No9 L" w:eastAsia="仿宋_GB2312" w:cs="Nimbus Roman No9 L"/>
                <w:b/>
                <w:bCs/>
                <w:color w:val="auto"/>
                <w:kern w:val="2"/>
                <w:sz w:val="32"/>
                <w:szCs w:val="32"/>
                <w:lang w:val="en-US" w:eastAsia="zh-CN" w:bidi="ar-SA"/>
              </w:rPr>
              <w:t>三是加强关键核心技术攻关。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highlight w:val="none"/>
                <w:lang w:val="en-US" w:eastAsia="zh-CN"/>
              </w:rPr>
              <w:t>充分运用“揭榜挂帅”方式，仅仅用时5个多月，成功研制了一款不使用任何化石燃料和外部电源，完全依靠纯太阳能驱动的智能网联汽车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highlight w:val="none"/>
                <w:lang w:val="en" w:eastAsia="zh-CN"/>
              </w:rPr>
              <w:t>—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highlight w:val="none"/>
                <w:lang w:val="en-US" w:eastAsia="zh-CN"/>
              </w:rPr>
              <w:t>“天津号”。集成融合了42家单位的47项先进技术，在太阳能电池等领域多项技术取得关键突破，实现了多学科、多领域和不同产业间交叉融合。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val="en-US" w:eastAsia="zh-CN"/>
              </w:rPr>
              <w:t>组织实施2022年生物医药科技重大专项，采用“揭榜挂帅”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val="en-US" w:eastAsia="zh-CN"/>
              </w:rPr>
              <w:t>方式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val="en-US" w:eastAsia="zh-CN"/>
              </w:rPr>
              <w:t>推动高端医疗器械国产化替代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val="en-US" w:eastAsia="zh-CN"/>
              </w:rPr>
              <w:t>。发布“进口冷链全流程消毒技术开发及应用示范”重大项目“揭榜挂帅”榜单，助力天津港集团在进口冷链防疫消杀工作中取得技术突破，减低冷链消杀成本，提升港口防疫检验工作效率。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05" w:rightChars="50" w:firstLine="642" w:firstLineChars="200"/>
              <w:textAlignment w:val="auto"/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Nimbus Roman No9 L" w:hAnsi="Nimbus Roman No9 L" w:eastAsia="仿宋_GB2312" w:cs="Nimbus Roman No9 L"/>
                <w:b/>
                <w:bCs/>
                <w:color w:val="auto"/>
                <w:kern w:val="2"/>
                <w:sz w:val="32"/>
                <w:szCs w:val="32"/>
                <w:lang w:val="en-US" w:eastAsia="zh-CN" w:bidi="ar-SA"/>
              </w:rPr>
              <w:t>四是</w:t>
            </w:r>
            <w:r>
              <w:rPr>
                <w:rFonts w:hint="eastAsia" w:ascii="Nimbus Roman No9 L" w:hAnsi="Nimbus Roman No9 L" w:eastAsia="仿宋_GB2312" w:cs="Nimbus Roman No9 L"/>
                <w:b/>
                <w:bCs/>
                <w:color w:val="auto"/>
                <w:kern w:val="2"/>
                <w:sz w:val="32"/>
                <w:szCs w:val="32"/>
                <w:lang w:val="en" w:eastAsia="zh-CN" w:bidi="ar-SA"/>
              </w:rPr>
              <w:t>加速科技成果市场化转化。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color w:val="auto"/>
                <w:sz w:val="32"/>
                <w:szCs w:val="32"/>
                <w:lang w:val="en-US" w:eastAsia="zh-CN"/>
              </w:rPr>
              <w:t>以天津市科技成果交易平台为核心，发展区域、高校院所、行业、服务等四类技术转移机构，建立了“1+4”市场化的技术转移体系。开展技术交易后补助，对技术出让单位、市级成果展示交易平台、区域类技术转移机构进行补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exact"/>
              <w:ind w:right="105" w:rightChars="50"/>
              <w:jc w:val="center"/>
              <w:rPr>
                <w:rFonts w:hint="eastAsia" w:ascii="Nimbus Roman No9 L" w:hAnsi="Nimbus Roman No9 L" w:eastAsia="仿宋_GB2312"/>
                <w:sz w:val="32"/>
              </w:rPr>
            </w:pPr>
            <w:bookmarkStart w:id="3" w:name="now"/>
            <w:r>
              <w:rPr>
                <w:rFonts w:hint="default" w:ascii="Nimbus Roman No9 L" w:hAnsi="Nimbus Roman No9 L" w:eastAsia="仿宋_GB2312" w:cs="Nimbus Roman No9 L"/>
                <w:sz w:val="32"/>
                <w:lang w:val="en" w:eastAsia="zh-CN"/>
              </w:rPr>
              <w:t xml:space="preserve">                         </w:t>
            </w:r>
            <w:r>
              <w:rPr>
                <w:rFonts w:hint="default" w:ascii="Nimbus Roman No9 L" w:hAnsi="Nimbus Roman No9 L" w:eastAsia="仿宋_GB2312" w:cs="Nimbus Roman No9 L"/>
                <w:sz w:val="32"/>
                <w:lang w:val="en-US" w:eastAsia="zh-CN"/>
              </w:rPr>
              <w:t>2022</w:t>
            </w:r>
            <w:r>
              <w:rPr>
                <w:rFonts w:hint="eastAsia" w:ascii="Nimbus Roman No9 L" w:hAnsi="Nimbus Roman No9 L" w:eastAsia="仿宋_GB2312"/>
                <w:sz w:val="32"/>
                <w:lang w:val="en-US" w:eastAsia="zh-CN"/>
              </w:rPr>
              <w:t>年</w:t>
            </w:r>
            <w:r>
              <w:rPr>
                <w:rFonts w:hint="eastAsia" w:ascii="Nimbus Roman No9 L" w:hAnsi="Nimbus Roman No9 L" w:eastAsia="仿宋_GB2312"/>
                <w:sz w:val="32"/>
                <w:szCs w:val="18"/>
                <w:lang w:val="en-US" w:eastAsia="zh-CN"/>
              </w:rPr>
              <w:t>9</w:t>
            </w:r>
            <w:r>
              <w:rPr>
                <w:rFonts w:hint="eastAsia" w:ascii="Nimbus Roman No9 L" w:hAnsi="Nimbus Roman No9 L" w:eastAsia="仿宋_GB2312"/>
                <w:sz w:val="32"/>
                <w:lang w:val="en-US" w:eastAsia="zh-CN"/>
              </w:rPr>
              <w:t>月</w:t>
            </w:r>
            <w:r>
              <w:rPr>
                <w:rFonts w:hint="eastAsia" w:ascii="Nimbus Roman No9 L" w:hAnsi="Nimbus Roman No9 L" w:eastAsia="仿宋_GB2312"/>
                <w:sz w:val="32"/>
                <w:szCs w:val="18"/>
                <w:lang w:val="en-US" w:eastAsia="zh-CN"/>
              </w:rPr>
              <w:t>14</w:t>
            </w:r>
            <w:r>
              <w:rPr>
                <w:rFonts w:hint="eastAsia" w:ascii="Nimbus Roman No9 L" w:hAnsi="Nimbus Roman No9 L" w:eastAsia="仿宋_GB2312"/>
                <w:sz w:val="32"/>
                <w:lang w:val="en-US" w:eastAsia="zh-CN"/>
              </w:rPr>
              <w:t>日</w:t>
            </w:r>
            <w:bookmarkEnd w:id="3"/>
            <w:r>
              <w:rPr>
                <w:rFonts w:hint="eastAsia" w:ascii="Nimbus Roman No9 L" w:hAnsi="Nimbus Roman No9 L" w:eastAsia="仿宋_GB2312"/>
                <w:sz w:val="32"/>
              </w:rPr>
              <w:t xml:space="preserve">   </w:t>
            </w:r>
          </w:p>
          <w:p>
            <w:pPr>
              <w:spacing w:line="480" w:lineRule="exact"/>
              <w:ind w:right="105" w:rightChars="50"/>
              <w:jc w:val="center"/>
              <w:rPr>
                <w:rFonts w:hint="eastAsia" w:ascii="Nimbus Roman No9 L" w:hAnsi="Nimbus Roman No9 L" w:eastAsia="仿宋_GB2312"/>
                <w:sz w:val="32"/>
              </w:rPr>
            </w:pPr>
          </w:p>
          <w:p>
            <w:pPr>
              <w:spacing w:line="480" w:lineRule="exact"/>
              <w:ind w:right="105" w:rightChars="50"/>
              <w:jc w:val="both"/>
              <w:rPr>
                <w:rFonts w:hint="eastAsia" w:ascii="Nimbus Roman No9 L" w:hAnsi="Nimbus Roman No9 L" w:eastAsia="仿宋_GB2312"/>
                <w:sz w:val="32"/>
              </w:rPr>
            </w:pPr>
            <w:r>
              <w:rPr>
                <w:rFonts w:hint="eastAsia" w:ascii="Nimbus Roman No9 L" w:hAnsi="Nimbus Roman No9 L" w:eastAsia="仿宋_GB2312"/>
                <w:sz w:val="32"/>
                <w:lang w:eastAsia="zh-CN"/>
              </w:rPr>
              <w:t>（联系单位及电话：天津市科学技术局，</w:t>
            </w:r>
            <w:r>
              <w:rPr>
                <w:rFonts w:hint="eastAsia" w:ascii="Nimbus Roman No9 L" w:hAnsi="Nimbus Roman No9 L" w:eastAsia="仿宋_GB2312"/>
                <w:sz w:val="32"/>
                <w:lang w:val="en-US" w:eastAsia="zh-CN"/>
              </w:rPr>
              <w:t>022-58326710</w:t>
            </w:r>
            <w:r>
              <w:rPr>
                <w:rFonts w:hint="eastAsia" w:ascii="Nimbus Roman No9 L" w:hAnsi="Nimbus Roman No9 L" w:eastAsia="仿宋_GB2312"/>
                <w:sz w:val="32"/>
                <w:lang w:eastAsia="zh-CN"/>
              </w:rPr>
              <w:t>）</w:t>
            </w:r>
            <w:bookmarkStart w:id="4" w:name="_GoBack"/>
            <w:bookmarkEnd w:id="4"/>
          </w:p>
        </w:tc>
      </w:tr>
    </w:tbl>
    <w:p>
      <w:pPr>
        <w:spacing w:line="20" w:lineRule="exact"/>
        <w:ind w:right="1151" w:rightChars="548"/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A1A2EA1"/>
    <w:rsid w:val="1BE3569F"/>
    <w:rsid w:val="1D5ADDFA"/>
    <w:rsid w:val="20FE4F37"/>
    <w:rsid w:val="22666FCA"/>
    <w:rsid w:val="23957D52"/>
    <w:rsid w:val="265833FB"/>
    <w:rsid w:val="2A106D0B"/>
    <w:rsid w:val="2DCA2874"/>
    <w:rsid w:val="377A2E5E"/>
    <w:rsid w:val="385C0DBD"/>
    <w:rsid w:val="3A57702C"/>
    <w:rsid w:val="447E3320"/>
    <w:rsid w:val="45CB5298"/>
    <w:rsid w:val="49FFC59A"/>
    <w:rsid w:val="4ABAA039"/>
    <w:rsid w:val="4B30475B"/>
    <w:rsid w:val="4CA33CB0"/>
    <w:rsid w:val="4D14258D"/>
    <w:rsid w:val="4F843BDE"/>
    <w:rsid w:val="53D50DAD"/>
    <w:rsid w:val="57073EC0"/>
    <w:rsid w:val="59C6063C"/>
    <w:rsid w:val="5FF56D7C"/>
    <w:rsid w:val="63E612D4"/>
    <w:rsid w:val="693053CC"/>
    <w:rsid w:val="6AB50BAB"/>
    <w:rsid w:val="6CA056C1"/>
    <w:rsid w:val="6D957ABF"/>
    <w:rsid w:val="7312333B"/>
    <w:rsid w:val="7397BCB3"/>
    <w:rsid w:val="75561D3A"/>
    <w:rsid w:val="776D184A"/>
    <w:rsid w:val="7952225A"/>
    <w:rsid w:val="7D174045"/>
    <w:rsid w:val="7D34090A"/>
    <w:rsid w:val="7D906DB7"/>
    <w:rsid w:val="7DD537FA"/>
    <w:rsid w:val="7DFF2DBD"/>
    <w:rsid w:val="7E674295"/>
    <w:rsid w:val="7FBF67B5"/>
    <w:rsid w:val="7FEFE01C"/>
    <w:rsid w:val="A6FD934A"/>
    <w:rsid w:val="B7FBAEFC"/>
    <w:rsid w:val="DAD497DB"/>
    <w:rsid w:val="DE7FDDD5"/>
    <w:rsid w:val="F3FB0392"/>
    <w:rsid w:val="F4FB02CA"/>
    <w:rsid w:val="F59BBF85"/>
    <w:rsid w:val="F5ED897E"/>
    <w:rsid w:val="F7EFC218"/>
    <w:rsid w:val="FD998CE8"/>
    <w:rsid w:val="FFDF9749"/>
    <w:rsid w:val="FFEE15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 Char Char1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 Char Char"/>
    <w:basedOn w:val="8"/>
    <w:link w:val="4"/>
    <w:semiHidden/>
    <w:qFormat/>
    <w:uiPriority w:val="99"/>
    <w:rPr>
      <w:kern w:val="2"/>
      <w:sz w:val="18"/>
      <w:szCs w:val="18"/>
    </w:rPr>
  </w:style>
  <w:style w:type="character" w:customStyle="1" w:styleId="12">
    <w:name w:val="GB_23121"/>
    <w:qFormat/>
    <w:uiPriority w:val="0"/>
    <w:rPr>
      <w:rFonts w:ascii="仿宋_GB2312" w:hAnsi="仿宋_GB2312" w:eastAsia="仿宋_GB2312" w:cs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341</Words>
  <Characters>1948</Characters>
  <Lines>16</Lines>
  <Paragraphs>4</Paragraphs>
  <TotalTime>2</TotalTime>
  <ScaleCrop>false</ScaleCrop>
  <LinksUpToDate>false</LinksUpToDate>
  <CharactersWithSpaces>2285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2021-04-10T19:49:00Z</dcterms:created>
  <dc:creator>wjc</dc:creator>
  <cp:lastModifiedBy>李长卿</cp:lastModifiedBy>
  <cp:lastPrinted>2022-09-30T03:34:00Z</cp:lastPrinted>
  <dcterms:modified xsi:type="dcterms:W3CDTF">2022-12-29T20:58:25Z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